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EDB59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bookmarkStart w:id="0" w:name="_GoBack"/>
      <w:bookmarkEnd w:id="0"/>
      <w:r w:rsidRPr="00CC5B22">
        <w:rPr>
          <w:rFonts w:ascii="Calibri" w:eastAsia="Calibri" w:hAnsi="Calibri" w:cs="Times New Roman"/>
          <w:color w:val="000000"/>
          <w:sz w:val="24"/>
          <w:szCs w:val="24"/>
        </w:rPr>
        <w:t>4. sz. melléklet</w:t>
      </w:r>
    </w:p>
    <w:p w14:paraId="7C91BCB2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7E00F0EC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Iktatószám: </w:t>
      </w:r>
    </w:p>
    <w:p w14:paraId="05277C1C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Ügyintéző: </w:t>
      </w:r>
    </w:p>
    <w:p w14:paraId="56D0E0B6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962" w:hanging="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Tárgy: </w:t>
      </w:r>
    </w:p>
    <w:p w14:paraId="26499C35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962" w:hanging="1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Cs/>
          <w:color w:val="000000"/>
          <w:sz w:val="24"/>
          <w:szCs w:val="24"/>
        </w:rPr>
        <w:t>Melléklet: 2 db</w:t>
      </w:r>
    </w:p>
    <w:p w14:paraId="70FA5AEB" w14:textId="77777777" w:rsidR="00CC5B22" w:rsidRPr="00CC5B22" w:rsidRDefault="00CC5B22" w:rsidP="00CC5B22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F7ED604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/>
          <w:color w:val="000000"/>
          <w:sz w:val="24"/>
          <w:szCs w:val="24"/>
        </w:rPr>
        <w:t>Címzett neve, székhelye</w:t>
      </w:r>
    </w:p>
    <w:p w14:paraId="4FE53FFA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b/>
          <w:color w:val="000000"/>
          <w:sz w:val="24"/>
          <w:szCs w:val="24"/>
        </w:rPr>
        <w:t>E-mail cím</w:t>
      </w:r>
    </w:p>
    <w:p w14:paraId="28D44292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20AB254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Tisztelt Ajánlattevő!</w:t>
      </w:r>
    </w:p>
    <w:p w14:paraId="1F6831CF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B4B9E40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Felkérem Önöket, hogy a Debreceni Egyetem részére az 1. sz. mellékletben szereplő termékekre és feltételekkel szíveskedjenek árajánlatot adni.</w:t>
      </w:r>
    </w:p>
    <w:p w14:paraId="1F02E51A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D1BE6FE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Az ajánlattétel feltételei: </w:t>
      </w:r>
    </w:p>
    <w:p w14:paraId="4279823A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 beszerzés tárgya, mennyisége: 1. sz. melléklet szerint.</w:t>
      </w:r>
    </w:p>
    <w:p w14:paraId="4A85D0BF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AA61BE3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Az ajánlati ár tartalma: </w:t>
      </w:r>
    </w:p>
    <w:p w14:paraId="2188878B" w14:textId="77777777" w:rsidR="00CC5B22" w:rsidRPr="00CC5B22" w:rsidRDefault="00CC5B22" w:rsidP="00CC5B2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Az ajánlati árnak tartalmaznia kell minden egyéb járulékos költséget (szállítási, csomagolási, szerelési, üzembe helyezési stb.), a teljesítés várható idejét, illetve a jótállás időtartamát.</w:t>
      </w:r>
    </w:p>
    <w:p w14:paraId="0DC49C31" w14:textId="77777777" w:rsidR="00CC5B22" w:rsidRPr="00CC5B22" w:rsidRDefault="00CC5B22" w:rsidP="00CC5B2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Az árajánlatot forintban (HUF) kérjük megadni.</w:t>
      </w:r>
    </w:p>
    <w:p w14:paraId="4AA8BC39" w14:textId="77777777" w:rsidR="00CC5B22" w:rsidRPr="00CC5B22" w:rsidRDefault="00CC5B22" w:rsidP="00CC5B2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 megrendelésről minden esetben visszaigazolást kérünk.</w:t>
      </w:r>
    </w:p>
    <w:p w14:paraId="4649A7EE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2BC2B68" w14:textId="77073CCC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Teljesítés helye, időpontja, illetőleg a szerződés időtartama</w:t>
      </w:r>
      <w:proofErr w:type="gramStart"/>
      <w:r w:rsidRPr="00CC5B22">
        <w:rPr>
          <w:rFonts w:ascii="Calibri" w:eastAsia="Calibri" w:hAnsi="Calibri" w:cs="Calibri"/>
          <w:color w:val="000000"/>
          <w:sz w:val="24"/>
          <w:szCs w:val="24"/>
        </w:rPr>
        <w:t>: …</w:t>
      </w:r>
      <w:proofErr w:type="gramEnd"/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……….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7D9F55E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FA70704" w14:textId="4F3A6000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Amennyiben az ajánlattétel elősegítése érdekében az ajánlatkérő dokumentációt készít, a dokumentáció rendelkezésre bocsátásának ideje, helye</w:t>
      </w:r>
      <w:r w:rsidRPr="00CC5B22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footnoteReference w:id="1"/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: …………………………………………………………………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………………………………………………………………..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5C50590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2732860" w14:textId="47FC39A9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Az alkalmasság feltételei, igazolási módja</w:t>
      </w:r>
      <w:r w:rsidRPr="00CC5B22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footnoteReference w:id="2"/>
      </w:r>
      <w:proofErr w:type="gramStart"/>
      <w:r w:rsidRPr="00CC5B22">
        <w:rPr>
          <w:rFonts w:ascii="Calibri" w:eastAsia="Calibri" w:hAnsi="Calibri" w:cs="Calibri"/>
          <w:color w:val="000000"/>
          <w:sz w:val="24"/>
          <w:szCs w:val="24"/>
        </w:rPr>
        <w:t>: …</w:t>
      </w:r>
      <w:proofErr w:type="gramEnd"/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……………………….……………………………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……..</w:t>
      </w:r>
    </w:p>
    <w:p w14:paraId="66E0B427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56C2EBB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Az ajánlati kötöttség minimális ideje: 60 nap.</w:t>
      </w:r>
    </w:p>
    <w:p w14:paraId="3249B1B9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033CE5D" w14:textId="120DB11F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Ajánlati biztosítékra vonatkozó rendelkezések</w:t>
      </w:r>
      <w:r w:rsidRPr="00CC5B22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footnoteReference w:id="3"/>
      </w:r>
      <w:proofErr w:type="gramStart"/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>…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……………………………………………………………………..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………………………………………………………..</w:t>
      </w:r>
    </w:p>
    <w:p w14:paraId="6E809C8D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702B419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Az árajánlatok elbírálásának szempontja: a legalacsonyabb nettó ajánlati ár.</w:t>
      </w:r>
    </w:p>
    <w:p w14:paraId="1DC40C0F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50F6149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Fizetési feltétel: igazolt teljesítésigazolás után 30 / 60 nappal (Megfelelő aláhúzandó. A Klinikai Központot érintő beszerzés esetén a fizetési határidő 60 nap az 1997. évi LXXXIII. tv. 9/A. § a) pontja alapján), banki átutalással.</w:t>
      </w:r>
    </w:p>
    <w:p w14:paraId="3A13EC16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954D52C" w14:textId="77777777" w:rsidR="00CC5B22" w:rsidRPr="00CC5B22" w:rsidRDefault="00CC5B22" w:rsidP="00CC5B2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lastRenderedPageBreak/>
        <w:t>Az eljárásban nem lehet ajánlattevő olyan gazdasági szereplő, aki a 2. sz. mellékletben szereplő kizáró okok hatálya alatt áll, melyről az ajánlattevőnek nyilatkoznia kell.</w:t>
      </w:r>
      <w:r w:rsidRPr="00CC5B22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Az árajánlat benyújtásának feltétele a 2. számú melléklet kitöltése és az árajánlattal együtt történő benyújtása.</w:t>
      </w:r>
    </w:p>
    <w:p w14:paraId="3682AFE8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EA33697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Garanciális és jótállási kötelezettségek: </w:t>
      </w:r>
    </w:p>
    <w:p w14:paraId="66721A7E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Jótállás a Ptk. 6:171. §, kellékszavatosság a Ptk. 6:159. § alapján. </w:t>
      </w:r>
    </w:p>
    <w:p w14:paraId="426F333B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F0D4802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Kötbérekre vonatkozó információk: </w:t>
      </w:r>
    </w:p>
    <w:p w14:paraId="7B904BF1" w14:textId="77777777" w:rsidR="00CC5B22" w:rsidRPr="00CC5B22" w:rsidRDefault="00CC5B22" w:rsidP="00CC5B2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Késedelmi kötbér: késedelmes teljesítés esetén Eladó késedelmi kötbér fizetésére kötelezett, mértéke 0,5%/nap, alapja a nettó vételár, </w:t>
      </w:r>
      <w:proofErr w:type="spellStart"/>
      <w:r w:rsidRPr="00CC5B22">
        <w:rPr>
          <w:rFonts w:ascii="Calibri" w:eastAsia="Calibri" w:hAnsi="Calibri" w:cs="Calibri"/>
          <w:color w:val="000000"/>
          <w:sz w:val="24"/>
          <w:szCs w:val="24"/>
        </w:rPr>
        <w:t>max</w:t>
      </w:r>
      <w:proofErr w:type="spellEnd"/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. 15 napig kerül felszámításra. </w:t>
      </w:r>
    </w:p>
    <w:p w14:paraId="69BE46DF" w14:textId="77777777" w:rsidR="00CC5B22" w:rsidRPr="00CC5B22" w:rsidRDefault="00CC5B22" w:rsidP="00CC5B2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Meghiúsulási kötbér: nem teljesítés esetén Vevő az áru nettó vételár 20%-ának megfelelő kötbérre jogosult. 15 nap késedelem után a Vevő jogosult egyoldalú nyilatkozatával a szerződéstől elállni és a meghiúsulási kötbért követelni a kötelezettől. Késedelmi és meghiúsulási kötbér egyidejű érvényesítése kizárt. A jogosult a kötbér mellett érvényesítheti a kötbért meghaladó kárát is. </w:t>
      </w:r>
    </w:p>
    <w:p w14:paraId="43B1CFA0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776F535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 Debreceni Egyetem Beszerzési Szabályzata értelmében az ajánlatkérőt az eljárás eredményeként szerződéskötési kötelezettség nem terheli.</w:t>
      </w:r>
    </w:p>
    <w:p w14:paraId="49A9C20D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720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08657B9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Ajánlattevő az ajánlatának benyújtásával a fenti feltételeket elfogadja.</w:t>
      </w:r>
    </w:p>
    <w:p w14:paraId="0CE0165F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BC6FCE7" w14:textId="77777777" w:rsidR="00CC5B22" w:rsidRPr="00CC5B22" w:rsidRDefault="00CC5B22" w:rsidP="00CC5B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Az ajánlat benyújtásának módja, helye és ideje: </w:t>
      </w:r>
    </w:p>
    <w:p w14:paraId="6BE0DAD8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284" w:firstLine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Kérem, hogy a cégszerű aláírással ellátott árajánlatot </w:t>
      </w:r>
      <w:proofErr w:type="gramStart"/>
      <w:r w:rsidRPr="00CC5B22">
        <w:rPr>
          <w:rFonts w:ascii="Calibri" w:eastAsia="Calibri" w:hAnsi="Calibri" w:cs="Calibri"/>
          <w:color w:val="000000"/>
          <w:sz w:val="24"/>
          <w:szCs w:val="24"/>
        </w:rPr>
        <w:t>a …</w:t>
      </w:r>
      <w:proofErr w:type="gramEnd"/>
      <w:r w:rsidRPr="00CC5B22">
        <w:rPr>
          <w:rFonts w:ascii="Calibri" w:eastAsia="Calibri" w:hAnsi="Calibri" w:cs="Calibri"/>
          <w:color w:val="000000"/>
          <w:sz w:val="24"/>
          <w:szCs w:val="24"/>
        </w:rPr>
        <w:t xml:space="preserve">………........ e-mail címre, legkésőbb </w:t>
      </w:r>
      <w:r w:rsidRPr="00CC5B2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20..……... ….. …. 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megküldeni szíveskedjen.</w:t>
      </w:r>
    </w:p>
    <w:p w14:paraId="2C3881C3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ED6E1E5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4A4CFAD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Debrecen, 20</w:t>
      </w:r>
      <w:proofErr w:type="gramStart"/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………………..</w:t>
      </w:r>
      <w:proofErr w:type="gramEnd"/>
    </w:p>
    <w:p w14:paraId="21C0169C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13034B0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Tisztelettel:</w:t>
      </w:r>
    </w:p>
    <w:p w14:paraId="116231DC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F1F8A4D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809B3D1" w14:textId="5F111011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ind w:left="5670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………………….</w:t>
      </w:r>
      <w:r w:rsidRPr="00CC5B22">
        <w:rPr>
          <w:rFonts w:ascii="Calibri" w:eastAsia="Calibri" w:hAnsi="Calibri" w:cs="Calibri"/>
          <w:color w:val="000000"/>
          <w:sz w:val="24"/>
          <w:szCs w:val="24"/>
        </w:rPr>
        <w:t>………………...</w:t>
      </w:r>
    </w:p>
    <w:p w14:paraId="27443EE8" w14:textId="165CA9FD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Szervezeti egység vezetője</w:t>
      </w:r>
    </w:p>
    <w:p w14:paraId="002E0601" w14:textId="77777777" w:rsidR="00CC5B22" w:rsidRPr="00CC5B22" w:rsidRDefault="00CC5B22" w:rsidP="00CC5B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70C16F7" w14:textId="1347DED7" w:rsidR="00CB0A10" w:rsidRDefault="00CB0A10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473C8EBC" w14:textId="793C97B6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4952405" w14:textId="089393E2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09D0432" w14:textId="42B6A364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73A71A20" w14:textId="6CA245EB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86131CC" w14:textId="33C02877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6DDD3066" w14:textId="5996AAB8" w:rsidR="00AA75FA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17AC9DC2" w14:textId="77777777" w:rsidR="00AA75FA" w:rsidRDefault="00AA75FA" w:rsidP="00AA75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</w:pPr>
    </w:p>
    <w:p w14:paraId="3E25BB80" w14:textId="341EABAB" w:rsidR="00AA75FA" w:rsidRPr="00AA75FA" w:rsidRDefault="00AA75FA" w:rsidP="00AA75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</w:pPr>
      <w:r w:rsidRPr="00AA75FA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lastRenderedPageBreak/>
        <w:t>2. számú melléklet</w:t>
      </w:r>
    </w:p>
    <w:p w14:paraId="4896EA3A" w14:textId="77777777" w:rsidR="00AA75FA" w:rsidRPr="00AA75FA" w:rsidRDefault="00AA75FA" w:rsidP="00AA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AA75F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NYILATKOZAT A KIZÁRÓ OKOKRÓL</w:t>
      </w:r>
    </w:p>
    <w:p w14:paraId="60A48CE8" w14:textId="77777777" w:rsidR="00AA75FA" w:rsidRPr="00AA75FA" w:rsidRDefault="00AA75FA" w:rsidP="00AA75F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BE9852" w14:textId="77777777" w:rsidR="00AA75FA" w:rsidRPr="00AA75FA" w:rsidRDefault="00AA75FA" w:rsidP="00AA75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Alulírott …</w:t>
      </w:r>
      <w:proofErr w:type="gram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……………………….…………….. (név), mint a(z) ……………………………………………… (gazdasági szereplő neve, székhelye) nyilatkozattételre jogosult képviselője büntetőjogi felelősségem tudatában n</w:t>
      </w:r>
      <w:r w:rsidRPr="00AA75FA">
        <w:rPr>
          <w:rFonts w:ascii="Times New Roman" w:eastAsia="Times New Roman" w:hAnsi="Times New Roman" w:cs="Times New Roman"/>
          <w:sz w:val="20"/>
          <w:szCs w:val="20"/>
          <w:lang w:eastAsia="hu-HU"/>
        </w:rPr>
        <w:t>yilatkozom, hogy az általam képviselt gazdasági szereplővel szemben n</w:t>
      </w: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em állnak fenn az alábbi kizáró okok:</w:t>
      </w:r>
    </w:p>
    <w:p w14:paraId="61E634D0" w14:textId="77777777" w:rsidR="00AA75FA" w:rsidRPr="00AA75FA" w:rsidRDefault="00AA75FA" w:rsidP="00AA75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7850426" w14:textId="77777777" w:rsidR="00AA75FA" w:rsidRPr="00AA75FA" w:rsidRDefault="00AA75FA" w:rsidP="00AA75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A tárgyi beszerzési eljárásban </w:t>
      </w:r>
      <w:r w:rsidRPr="00AA75F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nem lehet ajánlattevő olyan gazdasági szereplő, aki:</w:t>
      </w:r>
    </w:p>
    <w:p w14:paraId="24FD17EC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az alábbi bűncselekmények valamelyikét elkövette, és a bűncselekmény elkövetése az elmúlt öt évben jogerős bírósági ítéletben megállapítást nyert, amíg a büntetett előélethez fűződő hátrányok alól nem mentesült:</w:t>
      </w:r>
    </w:p>
    <w:p w14:paraId="1C8B84B7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aa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a Büntető Törvénykönyvről szóló 1978. évi IV. törvény (a továbbiakban: 1978. évi IV. törvény), illetve a Büntető Törvénykönyvről szóló 2012. évi C. törvény (a továbbiakban: Btk.) szerinti bűnszervezetben részvétel, ideértve a bűncselekmény bűnszervezetben történő elkövetését is;</w:t>
      </w:r>
    </w:p>
    <w:p w14:paraId="2F6F1B00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ab) az 1978. évi IV. törvény szerinti vesztegetés, befolyással üzérkedés, befolyás vásárlása, vesztegetés nemzetközi kapcsolatokban, befolyás vásárlása nemzetközi kapcsolatokban, hűtlen kezelés, hanyag kezelés, illetve a Btk. XXVII. fejezetében meghatározott korrupciós bűncselekmények, valamint a Btk. szerinti hűtlen kezelés vagy hanyag kezelés;</w:t>
      </w:r>
    </w:p>
    <w:p w14:paraId="546BA385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ac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az 1978. évi IV. törvény szerinti költségvetési csalás, európai közösségek pénzügyi érdekeinek megsértése, illetve a Btk. szerinti költségvetési csalás;</w:t>
      </w:r>
    </w:p>
    <w:p w14:paraId="406CFAF6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ad) az 1978. évi IV. törvény, illetve a Btk. szerinti terrorcselekmény, valamint ehhez kapcsolódó felbujtás, bűnsegély vagy kísérlet;</w:t>
      </w:r>
    </w:p>
    <w:p w14:paraId="2FE47A72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ae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az 1978. évi IV. törvény, illetve a Btk. szerinti pénzmosás, valamint a Btk. szerinti terrorizmus finanszírozása;</w:t>
      </w:r>
    </w:p>
    <w:p w14:paraId="6B3A4167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af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az 1978. évi IV. törvény, illetve a Btk. szerinti emberkereskedelem és kényszermunka, valamint az emberkereskedelem áldozatainak kizsákmányolása elleni fellépés érdekében szükséges egyes törvények módosításáról szóló 2020. évi V. törvény hatálybalépéséig hatályban volt Btk. szerinti kényszermunka;</w:t>
      </w:r>
    </w:p>
    <w:p w14:paraId="34EBEC07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ag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az 1978. évi IV. törvény, illetve a Btk. szerinti versenyt korlátozó megállapodás közbeszerzési és koncessziós eljárásban;</w:t>
      </w:r>
    </w:p>
    <w:p w14:paraId="59CA99B0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ah</w:t>
      </w:r>
      <w:proofErr w:type="gram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a gazdasági szereplő személyes joga szerinti, az </w:t>
      </w: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aa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proofErr w:type="spellStart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-ag</w:t>
      </w:r>
      <w:proofErr w:type="spellEnd"/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) pontokban felsoroltakhoz hasonló bűncselekmény;</w:t>
      </w:r>
    </w:p>
    <w:p w14:paraId="4C76EA46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066A82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egy évnél régebben lejárt adó-, vámfizetési vagy társadalombiztosítási járulékfizetési kötelezettségének nem tett eleget, kivéve, ha tartozását és az esetleges kamatot és bírságot az ajánlat benyújtásának időpontjáig megfizette vagy ezek megfizetésére halasztást kapott;</w:t>
      </w:r>
    </w:p>
    <w:p w14:paraId="56309FFE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76B7E7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3F79F096" w14:textId="77777777" w:rsidR="00AA75FA" w:rsidRPr="00AA75FA" w:rsidRDefault="00AA75FA" w:rsidP="00AA75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0F71E6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tevékenységét felfüggesztette vagy akinek tevékenységét felfüggesztették;</w:t>
      </w:r>
    </w:p>
    <w:p w14:paraId="1F91625E" w14:textId="77777777" w:rsidR="00AA75FA" w:rsidRPr="00AA75FA" w:rsidRDefault="00AA75FA" w:rsidP="00AA75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777383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gazdasági, illetve szakmai tevékenységével kapcsolatban bűncselekmény elkövetése az elmúlt három éven belül jogerős bírósági ítéletben megállapítást nyert;</w:t>
      </w:r>
    </w:p>
    <w:p w14:paraId="2C972762" w14:textId="77777777" w:rsidR="00AA75FA" w:rsidRPr="00AA75FA" w:rsidRDefault="00AA75FA" w:rsidP="00AA75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CE9652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harmadik országbeli állampolgár Magyarországon engedélyhez kötött foglalkoztatása esetén a foglalkoztatás-felügyeleti hatóság által a foglalkoztatást elősegítő szolgáltatásokról és támogatásokról, valamint a foglalkoztatás felügyeletéről szóló törvény alapján két évnél nem régebben véglegessé vált közigazgatási - vagy annak megtámadására irányuló közigazgatási per esetén jogerős bírósági - határozatban megállapított és a munkaügyi bírsággal vagy az idegenrendészeti hatóság által a harmadik országbeli állampolgárok beutazásáról és tartózkodásáról szóló törvény szerinti közrendvédelmi bírsággal sújtott jogszabálysértést követett el;</w:t>
      </w:r>
    </w:p>
    <w:p w14:paraId="396998B6" w14:textId="77777777" w:rsidR="00AA75FA" w:rsidRPr="00AA75FA" w:rsidRDefault="00AA75FA" w:rsidP="00AA75F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145E8D" w14:textId="77777777" w:rsidR="00AA75FA" w:rsidRPr="00AA75FA" w:rsidRDefault="00AA75FA" w:rsidP="00AA75F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75FA">
        <w:rPr>
          <w:rFonts w:ascii="Times New Roman" w:eastAsia="Times New Roman" w:hAnsi="Times New Roman" w:cs="Times New Roman"/>
          <w:sz w:val="20"/>
          <w:szCs w:val="20"/>
          <w:lang w:eastAsia="ar-SA"/>
        </w:rPr>
        <w:t>a jelen beszerzési eljárásban előírt adatszolgáltatási kötelezettség teljesítése során olyan hamis adatot szolgáltat vagy hamis nyilatkozatot tesz, amely a verseny tisztaságát veszélyezteti.</w:t>
      </w:r>
    </w:p>
    <w:p w14:paraId="36BCE39E" w14:textId="77777777" w:rsidR="00AA75FA" w:rsidRPr="00AA75FA" w:rsidRDefault="00AA75FA" w:rsidP="00AA75F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0"/>
          <w:szCs w:val="20"/>
          <w:lang w:eastAsia="hu-HU"/>
        </w:rPr>
      </w:pPr>
      <w:bookmarkStart w:id="1" w:name="_Toc408497131"/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1"/>
        <w:gridCol w:w="4567"/>
      </w:tblGrid>
      <w:tr w:rsidR="00AA75FA" w:rsidRPr="00AA75FA" w14:paraId="031C0925" w14:textId="77777777" w:rsidTr="007C0FB9">
        <w:tc>
          <w:tcPr>
            <w:tcW w:w="4501" w:type="dxa"/>
          </w:tcPr>
          <w:bookmarkEnd w:id="1"/>
          <w:p w14:paraId="0774ED3C" w14:textId="77777777" w:rsidR="00AA75FA" w:rsidRPr="00AA75FA" w:rsidRDefault="00AA75FA" w:rsidP="00AA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5FA">
              <w:rPr>
                <w:rFonts w:ascii="Times New Roman" w:eastAsia="Times New Roman" w:hAnsi="Times New Roman" w:cs="Times New Roman"/>
                <w:sz w:val="20"/>
                <w:szCs w:val="20"/>
              </w:rPr>
              <w:t>Kelt</w:t>
            </w:r>
            <w:proofErr w:type="gramStart"/>
            <w:r w:rsidRPr="00AA75FA">
              <w:rPr>
                <w:rFonts w:ascii="Times New Roman" w:eastAsia="Times New Roman" w:hAnsi="Times New Roman" w:cs="Times New Roman"/>
                <w:sz w:val="20"/>
                <w:szCs w:val="20"/>
              </w:rPr>
              <w:t>: …</w:t>
            </w:r>
            <w:proofErr w:type="gramEnd"/>
            <w:r w:rsidRPr="00AA75F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………….., 20…. év …….. hó … nap</w:t>
            </w:r>
          </w:p>
          <w:p w14:paraId="2BBDB931" w14:textId="77777777" w:rsidR="00AA75FA" w:rsidRPr="00AA75FA" w:rsidRDefault="00AA75FA" w:rsidP="00AA75FA">
            <w:pPr>
              <w:tabs>
                <w:tab w:val="left" w:pos="162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8764E97" w14:textId="77777777" w:rsidR="00AA75FA" w:rsidRPr="00AA75FA" w:rsidRDefault="00AA75FA" w:rsidP="00AA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370BE" w14:textId="77777777" w:rsidR="00AA75FA" w:rsidRPr="00AA75FA" w:rsidRDefault="00AA75FA" w:rsidP="00AA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5F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4728CBB7" w14:textId="77777777" w:rsidR="00AA75FA" w:rsidRPr="00AA75FA" w:rsidRDefault="00AA75FA" w:rsidP="00AA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5FA">
              <w:rPr>
                <w:rFonts w:ascii="Times New Roman" w:eastAsia="Times New Roman" w:hAnsi="Times New Roman" w:cs="Times New Roman"/>
                <w:sz w:val="20"/>
                <w:szCs w:val="20"/>
              </w:rPr>
              <w:t>cégszerű aláírás</w:t>
            </w:r>
          </w:p>
        </w:tc>
      </w:tr>
    </w:tbl>
    <w:p w14:paraId="042043D1" w14:textId="77777777" w:rsidR="00AA75FA" w:rsidRPr="00CC5B22" w:rsidRDefault="00AA75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sectPr w:rsidR="00AA75FA" w:rsidRPr="00CC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7858" w14:textId="77777777" w:rsidR="00DD00D8" w:rsidRDefault="00DD00D8" w:rsidP="00CC5B22">
      <w:pPr>
        <w:spacing w:after="0" w:line="240" w:lineRule="auto"/>
      </w:pPr>
      <w:r>
        <w:separator/>
      </w:r>
    </w:p>
  </w:endnote>
  <w:endnote w:type="continuationSeparator" w:id="0">
    <w:p w14:paraId="5215FBDF" w14:textId="77777777" w:rsidR="00DD00D8" w:rsidRDefault="00DD00D8" w:rsidP="00CC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04DE2" w14:textId="77777777" w:rsidR="00DD00D8" w:rsidRDefault="00DD00D8" w:rsidP="00CC5B22">
      <w:pPr>
        <w:spacing w:after="0" w:line="240" w:lineRule="auto"/>
      </w:pPr>
      <w:r>
        <w:separator/>
      </w:r>
    </w:p>
  </w:footnote>
  <w:footnote w:type="continuationSeparator" w:id="0">
    <w:p w14:paraId="6839D74A" w14:textId="77777777" w:rsidR="00DD00D8" w:rsidRDefault="00DD00D8" w:rsidP="00CC5B22">
      <w:pPr>
        <w:spacing w:after="0" w:line="240" w:lineRule="auto"/>
      </w:pPr>
      <w:r>
        <w:continuationSeparator/>
      </w:r>
    </w:p>
  </w:footnote>
  <w:footnote w:id="1">
    <w:p w14:paraId="6E48842B" w14:textId="77777777" w:rsidR="00CC5B22" w:rsidRPr="009E7AFC" w:rsidRDefault="00CC5B22" w:rsidP="00CC5B22">
      <w:pPr>
        <w:pStyle w:val="Lbjegyzetszveg"/>
        <w:rPr>
          <w:rFonts w:ascii="Calibri" w:hAnsi="Calibri" w:cs="Calibri"/>
          <w:sz w:val="18"/>
          <w:szCs w:val="18"/>
        </w:rPr>
      </w:pPr>
      <w:r w:rsidRPr="009E7AF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9E7AFC">
        <w:rPr>
          <w:rFonts w:ascii="Calibri" w:hAnsi="Calibri" w:cs="Calibri"/>
          <w:sz w:val="18"/>
          <w:szCs w:val="18"/>
        </w:rPr>
        <w:t xml:space="preserve"> Adott esetben</w:t>
      </w:r>
    </w:p>
  </w:footnote>
  <w:footnote w:id="2">
    <w:p w14:paraId="6F034510" w14:textId="77777777" w:rsidR="00CC5B22" w:rsidRPr="009E7AFC" w:rsidRDefault="00CC5B22" w:rsidP="00CC5B22">
      <w:pPr>
        <w:pStyle w:val="Lbjegyzetszveg"/>
        <w:rPr>
          <w:rFonts w:ascii="Calibri" w:hAnsi="Calibri" w:cs="Calibri"/>
          <w:sz w:val="18"/>
          <w:szCs w:val="18"/>
        </w:rPr>
      </w:pPr>
      <w:r w:rsidRPr="009E7AF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9E7AFC">
        <w:rPr>
          <w:rFonts w:ascii="Calibri" w:hAnsi="Calibri" w:cs="Calibri"/>
          <w:sz w:val="18"/>
          <w:szCs w:val="18"/>
        </w:rPr>
        <w:t xml:space="preserve"> Adott esetben</w:t>
      </w:r>
    </w:p>
  </w:footnote>
  <w:footnote w:id="3">
    <w:p w14:paraId="6B7D7B82" w14:textId="77777777" w:rsidR="00CC5B22" w:rsidRPr="009E7AFC" w:rsidRDefault="00CC5B22" w:rsidP="00CC5B22">
      <w:pPr>
        <w:pStyle w:val="Lbjegyzetszveg"/>
        <w:rPr>
          <w:rFonts w:ascii="Calibri" w:hAnsi="Calibri" w:cs="Calibri"/>
          <w:sz w:val="18"/>
          <w:szCs w:val="18"/>
        </w:rPr>
      </w:pPr>
      <w:r w:rsidRPr="009E7AF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9E7AFC">
        <w:rPr>
          <w:rFonts w:ascii="Calibri" w:hAnsi="Calibri" w:cs="Calibri"/>
          <w:sz w:val="18"/>
          <w:szCs w:val="18"/>
        </w:rPr>
        <w:t xml:space="preserve"> Adott esetben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655D2"/>
    <w:multiLevelType w:val="hybridMultilevel"/>
    <w:tmpl w:val="5FD4A6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6DBF"/>
    <w:multiLevelType w:val="hybridMultilevel"/>
    <w:tmpl w:val="17324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22"/>
    <w:rsid w:val="00AA75FA"/>
    <w:rsid w:val="00CB0A10"/>
    <w:rsid w:val="00CC5B22"/>
    <w:rsid w:val="00D52945"/>
    <w:rsid w:val="00D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5761"/>
  <w15:chartTrackingRefBased/>
  <w15:docId w15:val="{42651677-BFE2-44B5-B91A-23A8F39E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C5B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5B2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5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Dankóné</cp:lastModifiedBy>
  <cp:revision>2</cp:revision>
  <dcterms:created xsi:type="dcterms:W3CDTF">2023-03-02T08:42:00Z</dcterms:created>
  <dcterms:modified xsi:type="dcterms:W3CDTF">2023-03-02T08:42:00Z</dcterms:modified>
</cp:coreProperties>
</file>